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238" w:rsidRDefault="0063695E">
      <w:bookmarkStart w:id="0" w:name="_GoBack"/>
      <w:bookmarkEnd w:id="0"/>
      <w:r>
        <w:rPr>
          <w:noProof/>
          <w:lang w:val="fr-FR" w:eastAsia="fr-FR"/>
        </w:rPr>
        <w:drawing>
          <wp:inline distT="0" distB="0" distL="0" distR="0">
            <wp:extent cx="1692275" cy="76200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238" w:rsidRDefault="00D35238">
      <w:pPr>
        <w:rPr>
          <w:rFonts w:ascii="Times New Roman" w:hAnsi="Times New Roman" w:cs="Times New Roman"/>
        </w:rPr>
      </w:pPr>
    </w:p>
    <w:p w:rsidR="00D35238" w:rsidRDefault="0063695E">
      <w:pPr>
        <w:jc w:val="right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03/07/2023</w:t>
      </w:r>
      <w:r>
        <w:rPr>
          <w:rFonts w:ascii="Times New Roman" w:hAnsi="Times New Roman" w:cs="Times New Roman"/>
          <w:shd w:val="clear" w:color="auto" w:fill="FFFF00"/>
        </w:rPr>
        <w:t xml:space="preserve">  </w:t>
      </w:r>
    </w:p>
    <w:p w:rsidR="00D35238" w:rsidRDefault="00D35238">
      <w:pPr>
        <w:rPr>
          <w:rFonts w:ascii="Times New Roman" w:hAnsi="Times New Roman" w:cs="Times New Roman"/>
        </w:rPr>
      </w:pPr>
    </w:p>
    <w:p w:rsidR="00D35238" w:rsidRDefault="00D35238">
      <w:pPr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069"/>
        <w:gridCol w:w="4993"/>
      </w:tblGrid>
      <w:tr w:rsidR="00D35238">
        <w:trPr>
          <w:trHeight w:val="320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5A1A7"/>
          </w:tcPr>
          <w:p w:rsidR="00D35238" w:rsidRDefault="0063695E">
            <w:pPr>
              <w:rPr>
                <w:rFonts w:ascii="Times New Roman" w:hAnsi="Times New Roman" w:cs="Times New Roman"/>
                <w:b/>
                <w:color w:val="FFFFFF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</w:rPr>
              <w:t>Delay on: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38" w:rsidRDefault="006369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MS</w:t>
            </w:r>
            <w:r w:rsidR="008F441F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</w:tr>
      <w:tr w:rsidR="00D35238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5A1A7"/>
          </w:tcPr>
          <w:p w:rsidR="00D35238" w:rsidRDefault="0063695E">
            <w:pPr>
              <w:rPr>
                <w:rFonts w:ascii="Times New Roman" w:hAnsi="Times New Roman" w:cs="Times New Roman"/>
                <w:b/>
                <w:color w:val="FFFFFF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</w:rPr>
              <w:t>Delivery Date in Annex 1: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38" w:rsidRDefault="006369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</w:t>
            </w:r>
            <w:r w:rsidR="008F441F">
              <w:rPr>
                <w:rFonts w:ascii="Times New Roman" w:hAnsi="Times New Roman" w:cs="Times New Roman"/>
                <w:sz w:val="28"/>
              </w:rPr>
              <w:t>36</w:t>
            </w:r>
          </w:p>
        </w:tc>
      </w:tr>
      <w:tr w:rsidR="00D35238">
        <w:trPr>
          <w:trHeight w:val="264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5A1A7"/>
          </w:tcPr>
          <w:p w:rsidR="00D35238" w:rsidRDefault="0063695E">
            <w:pPr>
              <w:rPr>
                <w:rFonts w:ascii="Times New Roman" w:hAnsi="Times New Roman" w:cs="Times New Roman"/>
                <w:b/>
                <w:color w:val="FFFFFF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</w:rPr>
              <w:t>Expected Delivery Date: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38" w:rsidRDefault="006369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</w:t>
            </w:r>
            <w:r w:rsidR="008F441F">
              <w:rPr>
                <w:rFonts w:ascii="Times New Roman" w:hAnsi="Times New Roman" w:cs="Times New Roman"/>
                <w:sz w:val="28"/>
              </w:rPr>
              <w:t>42</w:t>
            </w:r>
          </w:p>
        </w:tc>
      </w:tr>
    </w:tbl>
    <w:p w:rsidR="00D35238" w:rsidRDefault="00636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35238" w:rsidRDefault="00D35238">
      <w:pPr>
        <w:rPr>
          <w:rFonts w:ascii="Times New Roman" w:hAnsi="Times New Roman" w:cs="Times New Roman"/>
        </w:rPr>
      </w:pPr>
    </w:p>
    <w:p w:rsidR="00D35238" w:rsidRPr="0063695E" w:rsidRDefault="0063695E">
      <w:pPr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00"/>
          <w:lang w:eastAsia="en-GB"/>
        </w:rPr>
      </w:pPr>
      <w:r w:rsidRPr="0063695E">
        <w:rPr>
          <w:rFonts w:ascii="Times New Roman" w:eastAsia="Times New Roman" w:hAnsi="Times New Roman" w:cs="Times New Roman"/>
          <w:b/>
          <w:color w:val="000000"/>
          <w:shd w:val="clear" w:color="auto" w:fill="FFFF00"/>
          <w:lang w:eastAsia="en-GB"/>
        </w:rPr>
        <w:t>Justification for delay</w:t>
      </w:r>
    </w:p>
    <w:p w:rsidR="00D35238" w:rsidRDefault="00D35238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3814A4" w:rsidRDefault="008F441F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Prototype timing layers based on the Timepix4 readout ASIC and corresponding SPIDR4 read-out system have been successfully produced, assembled, tested and commissioned at the CERN SPS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n-GB"/>
        </w:rPr>
        <w:t>testbeam</w:t>
      </w:r>
      <w:proofErr w:type="spellEnd"/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facility. These timing layers deliver the anticipated sub-nanosecond time resolution</w:t>
      </w:r>
      <w:r w:rsidR="003814A4">
        <w:rPr>
          <w:rFonts w:ascii="Times New Roman" w:eastAsia="Times New Roman" w:hAnsi="Times New Roman" w:cs="Times New Roman"/>
          <w:color w:val="000000"/>
          <w:lang w:eastAsia="en-GB"/>
        </w:rPr>
        <w:t xml:space="preserve"> across the entire 512x448 matrix of pixels, and at the maximum available beam rate of the SPS beam line (of order 1 </w:t>
      </w:r>
      <w:proofErr w:type="spellStart"/>
      <w:r w:rsidR="003814A4">
        <w:rPr>
          <w:rFonts w:ascii="Times New Roman" w:eastAsia="Times New Roman" w:hAnsi="Times New Roman" w:cs="Times New Roman"/>
          <w:color w:val="000000"/>
          <w:lang w:eastAsia="en-GB"/>
        </w:rPr>
        <w:t>Mtracks</w:t>
      </w:r>
      <w:proofErr w:type="spellEnd"/>
      <w:r w:rsidR="003814A4">
        <w:rPr>
          <w:rFonts w:ascii="Times New Roman" w:eastAsia="Times New Roman" w:hAnsi="Times New Roman" w:cs="Times New Roman"/>
          <w:color w:val="000000"/>
          <w:lang w:eastAsia="en-GB"/>
        </w:rPr>
        <w:t>/s).</w:t>
      </w:r>
    </w:p>
    <w:p w:rsidR="008F441F" w:rsidRDefault="003814A4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However, the sensor assemblies used in these prototype timing layers were borrowed from a different </w:t>
      </w:r>
      <w:r w:rsidR="00E1733B">
        <w:rPr>
          <w:rFonts w:ascii="Times New Roman" w:eastAsia="Times New Roman" w:hAnsi="Times New Roman" w:cs="Times New Roman"/>
          <w:color w:val="000000"/>
          <w:lang w:eastAsia="en-GB"/>
        </w:rPr>
        <w:t xml:space="preserve">(non-AIDAinnova) 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project because of delays </w:t>
      </w:r>
      <w:r w:rsidR="008F441F">
        <w:rPr>
          <w:rFonts w:ascii="Times New Roman" w:eastAsia="Times New Roman" w:hAnsi="Times New Roman" w:cs="Times New Roman"/>
          <w:color w:val="000000"/>
          <w:lang w:eastAsia="en-GB"/>
        </w:rPr>
        <w:t xml:space="preserve">in the delivery of </w:t>
      </w:r>
      <w:proofErr w:type="spellStart"/>
      <w:r w:rsidR="008F441F">
        <w:rPr>
          <w:rFonts w:ascii="Times New Roman" w:eastAsia="Times New Roman" w:hAnsi="Times New Roman" w:cs="Times New Roman"/>
          <w:color w:val="000000"/>
          <w:lang w:eastAsia="en-GB"/>
        </w:rPr>
        <w:t>PiN</w:t>
      </w:r>
      <w:proofErr w:type="spellEnd"/>
      <w:r w:rsidR="008F441F">
        <w:rPr>
          <w:rFonts w:ascii="Times New Roman" w:eastAsia="Times New Roman" w:hAnsi="Times New Roman" w:cs="Times New Roman"/>
          <w:color w:val="000000"/>
          <w:lang w:eastAsia="en-GB"/>
        </w:rPr>
        <w:t xml:space="preserve"> type sensor</w:t>
      </w:r>
      <w:r>
        <w:rPr>
          <w:rFonts w:ascii="Times New Roman" w:eastAsia="Times New Roman" w:hAnsi="Times New Roman" w:cs="Times New Roman"/>
          <w:color w:val="000000"/>
          <w:lang w:eastAsia="en-GB"/>
        </w:rPr>
        <w:t>s</w:t>
      </w:r>
      <w:r w:rsidR="008F441F">
        <w:rPr>
          <w:rFonts w:ascii="Times New Roman" w:eastAsia="Times New Roman" w:hAnsi="Times New Roman" w:cs="Times New Roman"/>
          <w:color w:val="000000"/>
          <w:lang w:eastAsia="en-GB"/>
        </w:rPr>
        <w:t xml:space="preserve"> and 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the </w:t>
      </w:r>
      <w:r w:rsidR="008F441F">
        <w:rPr>
          <w:rFonts w:ascii="Times New Roman" w:eastAsia="Times New Roman" w:hAnsi="Times New Roman" w:cs="Times New Roman"/>
          <w:color w:val="000000"/>
          <w:lang w:eastAsia="en-GB"/>
        </w:rPr>
        <w:t>flip-chipping of the sensor onto the Timepix4 ASICs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.  The use of borrowed sensors allowed us to evaluate and optimise the timing performance of the Timepix4 chip and the </w:t>
      </w:r>
      <w:r w:rsidR="00E1733B">
        <w:rPr>
          <w:rFonts w:ascii="Times New Roman" w:eastAsia="Times New Roman" w:hAnsi="Times New Roman" w:cs="Times New Roman"/>
          <w:color w:val="000000"/>
          <w:lang w:eastAsia="en-GB"/>
        </w:rPr>
        <w:t xml:space="preserve">test the </w:t>
      </w:r>
      <w:r>
        <w:rPr>
          <w:rFonts w:ascii="Times New Roman" w:eastAsia="Times New Roman" w:hAnsi="Times New Roman" w:cs="Times New Roman"/>
          <w:color w:val="000000"/>
          <w:lang w:eastAsia="en-GB"/>
        </w:rPr>
        <w:t>data acquisition system</w:t>
      </w:r>
      <w:r w:rsidR="00E1733B">
        <w:rPr>
          <w:rFonts w:ascii="Times New Roman" w:eastAsia="Times New Roman" w:hAnsi="Times New Roman" w:cs="Times New Roman"/>
          <w:color w:val="000000"/>
          <w:lang w:eastAsia="en-GB"/>
        </w:rPr>
        <w:t>,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thereby minimis</w:t>
      </w:r>
      <w:r w:rsidR="00E1733B">
        <w:rPr>
          <w:rFonts w:ascii="Times New Roman" w:eastAsia="Times New Roman" w:hAnsi="Times New Roman" w:cs="Times New Roman"/>
          <w:color w:val="000000"/>
          <w:lang w:eastAsia="en-GB"/>
        </w:rPr>
        <w:t>ing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the risk</w:t>
      </w:r>
      <w:r w:rsidR="008F4BDE">
        <w:rPr>
          <w:rFonts w:ascii="Times New Roman" w:eastAsia="Times New Roman" w:hAnsi="Times New Roman" w:cs="Times New Roman"/>
          <w:color w:val="000000"/>
          <w:lang w:eastAsia="en-GB"/>
        </w:rPr>
        <w:t>s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and delays.</w:t>
      </w:r>
    </w:p>
    <w:p w:rsidR="008F4BDE" w:rsidRDefault="008F4BDE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The </w:t>
      </w:r>
      <w:r w:rsidR="00CA650E">
        <w:rPr>
          <w:rFonts w:ascii="Times New Roman" w:eastAsia="Times New Roman" w:hAnsi="Times New Roman" w:cs="Times New Roman"/>
          <w:color w:val="000000"/>
          <w:lang w:eastAsia="en-GB"/>
        </w:rPr>
        <w:t xml:space="preserve">final </w:t>
      </w:r>
      <w:r>
        <w:rPr>
          <w:rFonts w:ascii="Times New Roman" w:eastAsia="Times New Roman" w:hAnsi="Times New Roman" w:cs="Times New Roman"/>
          <w:color w:val="000000"/>
          <w:lang w:eastAsia="en-GB"/>
        </w:rPr>
        <w:t>sensors assemblies are expected to be delivered in M39</w:t>
      </w:r>
      <w:r w:rsidR="00E1733B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n-GB"/>
        </w:rPr>
        <w:t>and</w:t>
      </w:r>
      <w:r w:rsidR="00E1733B">
        <w:rPr>
          <w:rFonts w:ascii="Times New Roman" w:eastAsia="Times New Roman" w:hAnsi="Times New Roman" w:cs="Times New Roman"/>
          <w:color w:val="000000"/>
          <w:lang w:eastAsia="en-GB"/>
        </w:rPr>
        <w:t>,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assuming </w:t>
      </w:r>
      <w:r w:rsidR="00E1733B">
        <w:rPr>
          <w:rFonts w:ascii="Times New Roman" w:eastAsia="Times New Roman" w:hAnsi="Times New Roman" w:cs="Times New Roman"/>
          <w:color w:val="000000"/>
          <w:lang w:eastAsia="en-GB"/>
        </w:rPr>
        <w:t xml:space="preserve">sufficient yield, the timing layers can be installed in M42. The chip carrier boards, SPIDR4 readout have already been produced and tested and hence pose no risk of delay. </w:t>
      </w:r>
      <w:r w:rsidR="00E1733B">
        <w:rPr>
          <w:rFonts w:ascii="Times New Roman" w:eastAsia="Times New Roman" w:hAnsi="Times New Roman" w:cs="Times New Roman"/>
          <w:color w:val="000000"/>
          <w:lang w:eastAsia="en-GB"/>
        </w:rPr>
        <w:tab/>
      </w:r>
    </w:p>
    <w:p w:rsidR="00E1733B" w:rsidRDefault="00CA650E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Preparations for the mechanical i</w:t>
      </w:r>
      <w:r w:rsidR="00E1733B">
        <w:rPr>
          <w:rFonts w:ascii="Times New Roman" w:eastAsia="Times New Roman" w:hAnsi="Times New Roman" w:cs="Times New Roman"/>
          <w:color w:val="000000"/>
          <w:lang w:eastAsia="en-GB"/>
        </w:rPr>
        <w:t>ntegration</w:t>
      </w:r>
      <w:r w:rsidR="00073611">
        <w:rPr>
          <w:rFonts w:ascii="Times New Roman" w:eastAsia="Times New Roman" w:hAnsi="Times New Roman" w:cs="Times New Roman"/>
          <w:color w:val="000000"/>
          <w:lang w:eastAsia="en-GB"/>
        </w:rPr>
        <w:t xml:space="preserve"> of the hardware into the telescope</w:t>
      </w:r>
      <w:r>
        <w:rPr>
          <w:rFonts w:ascii="Times New Roman" w:eastAsia="Times New Roman" w:hAnsi="Times New Roman" w:cs="Times New Roman"/>
          <w:color w:val="000000"/>
          <w:lang w:eastAsia="en-GB"/>
        </w:rPr>
        <w:t>s</w:t>
      </w:r>
      <w:r w:rsidR="00073611">
        <w:rPr>
          <w:rFonts w:ascii="Times New Roman" w:eastAsia="Times New Roman" w:hAnsi="Times New Roman" w:cs="Times New Roman"/>
          <w:color w:val="000000"/>
          <w:lang w:eastAsia="en-GB"/>
        </w:rPr>
        <w:t xml:space="preserve"> and of the SPIDR4 readout</w:t>
      </w:r>
      <w:r w:rsidR="00E1733B">
        <w:rPr>
          <w:rFonts w:ascii="Times New Roman" w:eastAsia="Times New Roman" w:hAnsi="Times New Roman" w:cs="Times New Roman"/>
          <w:color w:val="000000"/>
          <w:lang w:eastAsia="en-GB"/>
        </w:rPr>
        <w:t xml:space="preserve"> into EUDAQ</w:t>
      </w:r>
      <w:r w:rsidR="00073611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n-GB"/>
        </w:rPr>
        <w:t>are</w:t>
      </w:r>
      <w:r w:rsidR="00073611">
        <w:rPr>
          <w:rFonts w:ascii="Times New Roman" w:eastAsia="Times New Roman" w:hAnsi="Times New Roman" w:cs="Times New Roman"/>
          <w:color w:val="000000"/>
          <w:lang w:eastAsia="en-GB"/>
        </w:rPr>
        <w:t xml:space="preserve"> ongoing and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are expected to be ready in M42.</w:t>
      </w:r>
      <w:r w:rsidR="00073611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</w:p>
    <w:p w:rsidR="008F441F" w:rsidRDefault="008F441F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D35238" w:rsidRDefault="00D35238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D35238" w:rsidRDefault="00D35238"/>
    <w:sectPr w:rsidR="00D35238">
      <w:pgSz w:w="11906" w:h="16838"/>
      <w:pgMar w:top="1417" w:right="1417" w:bottom="113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38"/>
    <w:rsid w:val="00073611"/>
    <w:rsid w:val="003814A4"/>
    <w:rsid w:val="0063695E"/>
    <w:rsid w:val="00732C68"/>
    <w:rsid w:val="00884A44"/>
    <w:rsid w:val="008F441F"/>
    <w:rsid w:val="008F4BDE"/>
    <w:rsid w:val="009A16D2"/>
    <w:rsid w:val="00CA650E"/>
    <w:rsid w:val="00D35238"/>
    <w:rsid w:val="00E1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05C61-7D78-4941-9F42-AEA5D863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ejaVu Sans"/>
        <w:sz w:val="24"/>
        <w:szCs w:val="24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Gaede</dc:creator>
  <dc:description/>
  <cp:lastModifiedBy>Sabrina El Yacoubi</cp:lastModifiedBy>
  <cp:revision>2</cp:revision>
  <dcterms:created xsi:type="dcterms:W3CDTF">2024-04-26T13:35:00Z</dcterms:created>
  <dcterms:modified xsi:type="dcterms:W3CDTF">2024-04-26T13:35:00Z</dcterms:modified>
  <dc:language>en-US</dc:language>
</cp:coreProperties>
</file>